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4AF3" w14:textId="406EACB0" w:rsidR="00924B67" w:rsidRDefault="006D6724">
      <w:r>
        <w:t xml:space="preserve">Open Systems </w:t>
      </w:r>
    </w:p>
    <w:p w14:paraId="70E3A238" w14:textId="67D326B7" w:rsidR="006D6724" w:rsidRDefault="006D6724"/>
    <w:p w14:paraId="2A813BBC" w14:textId="6317EFB3" w:rsidR="006D6724" w:rsidRDefault="006D6724">
      <w:r>
        <w:t xml:space="preserve">Community </w:t>
      </w:r>
    </w:p>
    <w:p w14:paraId="4A3CEE7E" w14:textId="414D1F86" w:rsidR="006D6724" w:rsidRDefault="006D6724">
      <w:r>
        <w:t>Stakeholders</w:t>
      </w:r>
    </w:p>
    <w:p w14:paraId="46BF3F3B" w14:textId="1BDD211A" w:rsidR="006D6724" w:rsidRDefault="006D6724">
      <w:r>
        <w:t>School district</w:t>
      </w:r>
    </w:p>
    <w:p w14:paraId="0D4BA236" w14:textId="5A956FDE" w:rsidR="006D6724" w:rsidRDefault="006D6724">
      <w:r>
        <w:t>Location- geographical</w:t>
      </w:r>
    </w:p>
    <w:p w14:paraId="31F170D0" w14:textId="76D2EC22" w:rsidR="006D6724" w:rsidRDefault="006D6724">
      <w:r>
        <w:t>SES</w:t>
      </w:r>
    </w:p>
    <w:p w14:paraId="14B9DB3A" w14:textId="25C102F3" w:rsidR="006D6724" w:rsidRDefault="006D6724">
      <w:r>
        <w:t>Flow of resources</w:t>
      </w:r>
    </w:p>
    <w:p w14:paraId="789ADBF2" w14:textId="7FFC1415" w:rsidR="006D6724" w:rsidRDefault="006D6724">
      <w:r>
        <w:t>External needs</w:t>
      </w:r>
    </w:p>
    <w:p w14:paraId="049B712E" w14:textId="5104FE8F" w:rsidR="006D6724" w:rsidRDefault="006D6724">
      <w:r>
        <w:t>Government</w:t>
      </w:r>
    </w:p>
    <w:p w14:paraId="47A68D1D" w14:textId="6546D698" w:rsidR="006D6724" w:rsidRDefault="006D6724">
      <w:r>
        <w:t>Economy</w:t>
      </w:r>
    </w:p>
    <w:p w14:paraId="3861A03C" w14:textId="5B61C417" w:rsidR="006D6724" w:rsidRDefault="006D6724">
      <w:r>
        <w:t>Vendors</w:t>
      </w:r>
    </w:p>
    <w:p w14:paraId="50AC958C" w14:textId="01A39D68" w:rsidR="006D6724" w:rsidRDefault="006D6724">
      <w:r>
        <w:t>Public health</w:t>
      </w:r>
    </w:p>
    <w:p w14:paraId="7CDA4ECF" w14:textId="62B93AED" w:rsidR="006D6724" w:rsidRDefault="006D6724">
      <w:r>
        <w:t>Accreditation</w:t>
      </w:r>
    </w:p>
    <w:p w14:paraId="771685BD" w14:textId="3389FD34" w:rsidR="006D6724" w:rsidRDefault="006D6724">
      <w:r>
        <w:t>Legal – laws</w:t>
      </w:r>
    </w:p>
    <w:p w14:paraId="0E897E57" w14:textId="29A7D6E8" w:rsidR="006D6724" w:rsidRDefault="006D6724">
      <w:r>
        <w:t xml:space="preserve">Nature – climate – pollution </w:t>
      </w:r>
    </w:p>
    <w:p w14:paraId="4928062A" w14:textId="492093F2" w:rsidR="006D6724" w:rsidRDefault="006D6724">
      <w:r>
        <w:t>Competitor</w:t>
      </w:r>
      <w:r w:rsidR="00CB40D3">
        <w:t>s</w:t>
      </w:r>
    </w:p>
    <w:p w14:paraId="4EA66E7A" w14:textId="2CB1BDDC" w:rsidR="006D6724" w:rsidRDefault="006D6724">
      <w:r>
        <w:t>Politicians</w:t>
      </w:r>
      <w:r w:rsidR="00CB40D3">
        <w:t xml:space="preserve"> - lobbyists</w:t>
      </w:r>
    </w:p>
    <w:p w14:paraId="5401BC9D" w14:textId="240DE934" w:rsidR="006D6724" w:rsidRDefault="006D6724">
      <w:r>
        <w:t>Technolog</w:t>
      </w:r>
      <w:r w:rsidR="00CB40D3">
        <w:t>ical developments (</w:t>
      </w:r>
      <w:r>
        <w:t>external</w:t>
      </w:r>
      <w:r w:rsidR="00CB40D3">
        <w:t xml:space="preserve"> to the org)</w:t>
      </w:r>
    </w:p>
    <w:p w14:paraId="34070BDA" w14:textId="478B2155" w:rsidR="006D6724" w:rsidRDefault="006D6724">
      <w:r>
        <w:t>Morphogen</w:t>
      </w:r>
      <w:r w:rsidR="006923A1">
        <w:t>e</w:t>
      </w:r>
      <w:r>
        <w:t>sis</w:t>
      </w:r>
      <w:r w:rsidR="00CB40D3">
        <w:t xml:space="preserve"> (evolution/change)</w:t>
      </w:r>
    </w:p>
    <w:p w14:paraId="167512D4" w14:textId="2A8CF8C5" w:rsidR="006D6724" w:rsidRDefault="006D6724">
      <w:r>
        <w:t>Infrastructure- transportation</w:t>
      </w:r>
    </w:p>
    <w:p w14:paraId="7D306173" w14:textId="3F8A8FAC" w:rsidR="006D6724" w:rsidRDefault="006D6724">
      <w:r>
        <w:t>Job market</w:t>
      </w:r>
      <w:r w:rsidR="00CB40D3">
        <w:t>s</w:t>
      </w:r>
    </w:p>
    <w:p w14:paraId="5CDF9533" w14:textId="3D70ADD0" w:rsidR="006D6724" w:rsidRDefault="006D6724">
      <w:r>
        <w:t>Local career</w:t>
      </w:r>
      <w:r w:rsidR="00CB40D3">
        <w:t>/industry</w:t>
      </w:r>
      <w:r>
        <w:t xml:space="preserve"> needs </w:t>
      </w:r>
    </w:p>
    <w:p w14:paraId="54B3A1A4" w14:textId="3E720F53" w:rsidR="006D6724" w:rsidRDefault="006D6724">
      <w:r>
        <w:t>Culture – regional, state, national</w:t>
      </w:r>
    </w:p>
    <w:p w14:paraId="38C2AB02" w14:textId="28539C7E" w:rsidR="006D6724" w:rsidRDefault="006D6724">
      <w:r>
        <w:t>Professional associations</w:t>
      </w:r>
    </w:p>
    <w:p w14:paraId="2AA7564E" w14:textId="505240D1" w:rsidR="006D6724" w:rsidRDefault="006D6724">
      <w:r>
        <w:t>Demographics</w:t>
      </w:r>
    </w:p>
    <w:p w14:paraId="7E8D6132" w14:textId="26C8D902" w:rsidR="00E30FCD" w:rsidRDefault="00E30FCD"/>
    <w:p w14:paraId="3B487D04" w14:textId="77777777" w:rsidR="00CB40D3" w:rsidRDefault="00CB40D3"/>
    <w:p w14:paraId="19E18B42" w14:textId="087C5D20" w:rsidR="00E30FCD" w:rsidRPr="00E30FCD" w:rsidRDefault="00E30FCD">
      <w:pPr>
        <w:rPr>
          <w:b/>
          <w:bCs/>
        </w:rPr>
      </w:pPr>
      <w:r w:rsidRPr="00E30FCD">
        <w:rPr>
          <w:b/>
          <w:bCs/>
        </w:rPr>
        <w:t>The Environment</w:t>
      </w:r>
    </w:p>
    <w:p w14:paraId="663DA2FF" w14:textId="1F922785" w:rsidR="00E30FCD" w:rsidRDefault="00E30FCD" w:rsidP="00E30FCD">
      <w:pPr>
        <w:spacing w:after="80"/>
        <w:rPr>
          <w:rFonts w:ascii="Calibri" w:hAnsi="Calibri"/>
        </w:rPr>
      </w:pPr>
      <w:r>
        <w:rPr>
          <w:rFonts w:ascii="Calibri" w:hAnsi="Calibri"/>
        </w:rPr>
        <w:t xml:space="preserve">We </w:t>
      </w:r>
      <w:r>
        <w:rPr>
          <w:rFonts w:ascii="Calibri" w:hAnsi="Calibri"/>
        </w:rPr>
        <w:t xml:space="preserve">can categorize </w:t>
      </w:r>
      <w:r>
        <w:rPr>
          <w:rFonts w:ascii="Calibri" w:hAnsi="Calibri"/>
        </w:rPr>
        <w:t xml:space="preserve">the multiple environmental influences that make up and influence the education system: </w:t>
      </w:r>
      <w:r>
        <w:rPr>
          <w:rFonts w:ascii="Calibri" w:hAnsi="Calibri"/>
        </w:rPr>
        <w:tab/>
      </w:r>
    </w:p>
    <w:p w14:paraId="65A2F291" w14:textId="77777777" w:rsidR="00E30FCD" w:rsidRPr="008C5E21" w:rsidRDefault="00E30FCD" w:rsidP="00E30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Calibri" w:hAnsi="Calibri" w:cs="TimesNewRomanPSMT"/>
        </w:rPr>
      </w:pPr>
      <w:r w:rsidRPr="008C5E21">
        <w:rPr>
          <w:rFonts w:ascii="Calibri" w:hAnsi="Calibri" w:cs="TimesNewRomanPSMT"/>
        </w:rPr>
        <w:t>Federal policy environments, including efforts to establish and sustain a system-wide</w:t>
      </w:r>
      <w:r>
        <w:rPr>
          <w:rFonts w:ascii="Calibri" w:hAnsi="Calibri" w:cs="TimesNewRomanPSMT"/>
        </w:rPr>
        <w:t xml:space="preserve"> </w:t>
      </w:r>
      <w:r w:rsidRPr="008C5E21">
        <w:rPr>
          <w:rFonts w:ascii="Calibri" w:hAnsi="Calibri" w:cs="TimesNewRomanPSMT"/>
        </w:rPr>
        <w:t>agenda for reform;</w:t>
      </w:r>
    </w:p>
    <w:p w14:paraId="37408E07" w14:textId="77777777" w:rsidR="00E30FCD" w:rsidRPr="008C5E21" w:rsidRDefault="00E30FCD" w:rsidP="00E30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Calibri" w:hAnsi="Calibri" w:cs="TimesNewRomanPSMT"/>
        </w:rPr>
      </w:pPr>
      <w:r w:rsidRPr="008C5E21">
        <w:rPr>
          <w:rFonts w:ascii="Calibri" w:hAnsi="Calibri" w:cs="TimesNewRomanPSMT"/>
        </w:rPr>
        <w:t>State policy environments, both as influencing and responding to federal level</w:t>
      </w:r>
      <w:r>
        <w:rPr>
          <w:rFonts w:ascii="Calibri" w:hAnsi="Calibri" w:cs="TimesNewRomanPSMT"/>
        </w:rPr>
        <w:t xml:space="preserve"> </w:t>
      </w:r>
      <w:r w:rsidRPr="008C5E21">
        <w:rPr>
          <w:rFonts w:ascii="Calibri" w:hAnsi="Calibri" w:cs="TimesNewRomanPSMT"/>
        </w:rPr>
        <w:t>initiatives;</w:t>
      </w:r>
      <w:bookmarkStart w:id="0" w:name="_GoBack"/>
      <w:bookmarkEnd w:id="0"/>
    </w:p>
    <w:p w14:paraId="429564DB" w14:textId="77777777" w:rsidR="00E30FCD" w:rsidRPr="008C5E21" w:rsidRDefault="00E30FCD" w:rsidP="00E30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Calibri" w:hAnsi="Calibri" w:cs="TimesNewRomanPSMT"/>
        </w:rPr>
      </w:pPr>
      <w:r w:rsidRPr="008C5E21">
        <w:rPr>
          <w:rFonts w:ascii="Calibri" w:hAnsi="Calibri" w:cs="TimesNewRomanPSMT"/>
        </w:rPr>
        <w:t>Proprietary environments (i.e., the efforts of developers and vendors to create and</w:t>
      </w:r>
      <w:r>
        <w:rPr>
          <w:rFonts w:ascii="Calibri" w:hAnsi="Calibri" w:cs="TimesNewRomanPSMT"/>
        </w:rPr>
        <w:t xml:space="preserve"> </w:t>
      </w:r>
      <w:r w:rsidRPr="008C5E21">
        <w:rPr>
          <w:rFonts w:ascii="Calibri" w:hAnsi="Calibri" w:cs="TimesNewRomanPSMT"/>
        </w:rPr>
        <w:t>market improvement models, programs, technologies, and services responsive to</w:t>
      </w:r>
      <w:r>
        <w:rPr>
          <w:rFonts w:ascii="Calibri" w:hAnsi="Calibri" w:cs="TimesNewRomanPSMT"/>
        </w:rPr>
        <w:t xml:space="preserve"> </w:t>
      </w:r>
      <w:r w:rsidRPr="008C5E21">
        <w:rPr>
          <w:rFonts w:ascii="Calibri" w:hAnsi="Calibri" w:cs="TimesNewRomanPSMT"/>
        </w:rPr>
        <w:t>federal and state policies); and</w:t>
      </w:r>
    </w:p>
    <w:p w14:paraId="784AF5E1" w14:textId="4502C96C" w:rsidR="00E30FCD" w:rsidRPr="00E30FCD" w:rsidRDefault="00E30FCD" w:rsidP="00E30FCD">
      <w:pPr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rFonts w:ascii="Calibri" w:hAnsi="Calibri" w:cs="TimesNewRomanPSMT"/>
        </w:rPr>
        <w:t xml:space="preserve">Knowledge environments (i.e., </w:t>
      </w:r>
      <w:r>
        <w:rPr>
          <w:rFonts w:ascii="Calibri" w:hAnsi="Calibri"/>
        </w:rPr>
        <w:t>frameworks, materials, assessments, monitoring)</w:t>
      </w:r>
      <w:r>
        <w:rPr>
          <w:rFonts w:ascii="Calibri" w:hAnsi="Calibri" w:cs="TimesNewRomanPSMT"/>
        </w:rPr>
        <w:t xml:space="preserve"> both as informing &amp;</w:t>
      </w:r>
      <w:r w:rsidRPr="008C5E21">
        <w:rPr>
          <w:rFonts w:ascii="Calibri" w:hAnsi="Calibri" w:cs="TimesNewRomanPSMT"/>
        </w:rPr>
        <w:t xml:space="preserve"> legitimizing proprietary activity</w:t>
      </w:r>
      <w:r>
        <w:rPr>
          <w:rFonts w:ascii="Calibri" w:hAnsi="Calibri" w:cs="TimesNewRomanPSMT"/>
        </w:rPr>
        <w:t xml:space="preserve"> and as adapting policy (mutual adaptation)</w:t>
      </w:r>
      <w:r w:rsidRPr="008C5E21">
        <w:rPr>
          <w:rFonts w:ascii="Calibri" w:hAnsi="Calibri" w:cs="TimesNewRomanPSMT"/>
        </w:rPr>
        <w:t>.</w:t>
      </w:r>
    </w:p>
    <w:p w14:paraId="16F5FF3E" w14:textId="764D9A2D" w:rsidR="00E30FCD" w:rsidRDefault="00E30FCD" w:rsidP="00E30FCD">
      <w:pPr>
        <w:spacing w:after="60"/>
        <w:rPr>
          <w:rFonts w:ascii="Calibri" w:hAnsi="Calibri" w:cs="TimesNewRomanPSMT"/>
        </w:rPr>
      </w:pPr>
    </w:p>
    <w:p w14:paraId="1A20BA71" w14:textId="749D51E5" w:rsidR="00E30FCD" w:rsidRDefault="00E30FCD">
      <w:pPr>
        <w:rPr>
          <w:rFonts w:ascii="Calibri" w:hAnsi="Calibri" w:cs="TimesNewRomanPSMT"/>
        </w:rPr>
      </w:pPr>
      <w:r>
        <w:rPr>
          <w:rFonts w:ascii="Calibri" w:hAnsi="Calibri" w:cs="TimesNewRomanPSMT"/>
        </w:rPr>
        <w:br w:type="page"/>
      </w:r>
    </w:p>
    <w:p w14:paraId="63BAC84F" w14:textId="77777777" w:rsidR="00E30FCD" w:rsidRDefault="00E30FCD" w:rsidP="00E30FCD">
      <w:pPr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b/>
          <w:color w:val="000000"/>
          <w:szCs w:val="22"/>
        </w:rPr>
        <w:lastRenderedPageBreak/>
        <w:t>C</w:t>
      </w:r>
      <w:r w:rsidRPr="00335834">
        <w:rPr>
          <w:rFonts w:ascii="Calibri" w:hAnsi="Calibri" w:cs="Arial"/>
          <w:b/>
          <w:color w:val="000000"/>
          <w:szCs w:val="22"/>
        </w:rPr>
        <w:t>ontingency theory</w:t>
      </w:r>
      <w:r w:rsidRPr="00335834">
        <w:rPr>
          <w:rFonts w:ascii="Calibri" w:hAnsi="Calibri" w:cs="Arial"/>
          <w:color w:val="000000"/>
          <w:szCs w:val="22"/>
        </w:rPr>
        <w:t xml:space="preserve">: </w:t>
      </w:r>
      <w:r>
        <w:rPr>
          <w:rFonts w:ascii="Calibri" w:hAnsi="Calibri" w:cs="Arial"/>
          <w:color w:val="000000"/>
          <w:szCs w:val="22"/>
        </w:rPr>
        <w:t>Morgan (p. 43-49)</w:t>
      </w:r>
    </w:p>
    <w:p w14:paraId="6A83266A" w14:textId="6E5E3A97" w:rsidR="00E30FCD" w:rsidRDefault="00E30FCD" w:rsidP="00E30FCD">
      <w:pPr>
        <w:ind w:firstLine="720"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When is a m</w:t>
      </w:r>
      <w:r>
        <w:rPr>
          <w:rFonts w:ascii="Calibri" w:hAnsi="Calibri" w:cs="Arial"/>
          <w:color w:val="000000"/>
          <w:szCs w:val="22"/>
        </w:rPr>
        <w:t xml:space="preserve">echanistic </w:t>
      </w:r>
      <w:r>
        <w:rPr>
          <w:rFonts w:ascii="Calibri" w:hAnsi="Calibri" w:cs="Arial"/>
          <w:color w:val="000000"/>
          <w:szCs w:val="22"/>
        </w:rPr>
        <w:t xml:space="preserve">or organistic </w:t>
      </w:r>
      <w:r>
        <w:rPr>
          <w:rFonts w:ascii="Calibri" w:hAnsi="Calibri" w:cs="Arial"/>
          <w:color w:val="000000"/>
          <w:szCs w:val="22"/>
        </w:rPr>
        <w:t xml:space="preserve">approach to management </w:t>
      </w:r>
      <w:r>
        <w:rPr>
          <w:rFonts w:ascii="Calibri" w:hAnsi="Calibri" w:cs="Arial"/>
          <w:color w:val="000000"/>
          <w:szCs w:val="22"/>
        </w:rPr>
        <w:t>appropriate?</w:t>
      </w:r>
    </w:p>
    <w:p w14:paraId="44658F38" w14:textId="77777777" w:rsidR="00E30FCD" w:rsidRDefault="00E30FCD" w:rsidP="00E30FCD">
      <w:pPr>
        <w:ind w:firstLine="720"/>
        <w:rPr>
          <w:rFonts w:ascii="Calibri" w:hAnsi="Calibri" w:cs="Arial"/>
          <w:color w:val="000000"/>
          <w:szCs w:val="22"/>
        </w:rPr>
      </w:pPr>
    </w:p>
    <w:p w14:paraId="0734219A" w14:textId="2FFAB0E3" w:rsidR="00E30FCD" w:rsidRDefault="00E30FCD" w:rsidP="00E30FCD">
      <w:pPr>
        <w:rPr>
          <w:rFonts w:ascii="Calibri" w:hAnsi="Calibri" w:cs="Arial"/>
          <w:color w:val="000000"/>
          <w:szCs w:val="22"/>
        </w:rPr>
      </w:pPr>
      <w:r w:rsidRPr="00335834">
        <w:rPr>
          <w:rFonts w:ascii="Calibri" w:hAnsi="Calibri" w:cs="Arial"/>
          <w:color w:val="000000"/>
          <w:szCs w:val="22"/>
        </w:rPr>
        <w:t>Burns &amp; Stalker established the distinction between mechanistic and organic approaches to organization and management. (</w:t>
      </w:r>
      <w:r>
        <w:rPr>
          <w:rFonts w:ascii="Calibri" w:hAnsi="Calibri" w:cs="Arial"/>
          <w:color w:val="000000"/>
          <w:szCs w:val="22"/>
        </w:rPr>
        <w:t xml:space="preserve">Morgan, </w:t>
      </w:r>
      <w:r w:rsidRPr="00335834">
        <w:rPr>
          <w:rFonts w:ascii="Calibri" w:hAnsi="Calibri" w:cs="Arial"/>
          <w:color w:val="000000"/>
          <w:szCs w:val="22"/>
        </w:rPr>
        <w:t>p. 42) Structu</w:t>
      </w:r>
      <w:r>
        <w:rPr>
          <w:rFonts w:ascii="Calibri" w:hAnsi="Calibri" w:cs="Arial"/>
          <w:color w:val="000000"/>
          <w:szCs w:val="22"/>
        </w:rPr>
        <w:t xml:space="preserve">re must match the environment. </w:t>
      </w:r>
    </w:p>
    <w:p w14:paraId="3F60BC06" w14:textId="77777777" w:rsidR="00E30FCD" w:rsidRPr="00335834" w:rsidRDefault="00E30FCD" w:rsidP="00E30FCD">
      <w:pPr>
        <w:rPr>
          <w:rFonts w:ascii="Calibri" w:hAnsi="Calibri" w:cs="Arial"/>
          <w:color w:val="000000"/>
          <w:szCs w:val="22"/>
        </w:rPr>
      </w:pPr>
    </w:p>
    <w:p w14:paraId="75F9C4A5" w14:textId="77777777" w:rsidR="00E30FCD" w:rsidRPr="00335834" w:rsidRDefault="00E30FCD" w:rsidP="00E30FCD">
      <w:pPr>
        <w:spacing w:line="360" w:lineRule="auto"/>
        <w:rPr>
          <w:rFonts w:ascii="Calibri" w:hAnsi="Calibri" w:cs="Arial"/>
          <w:color w:val="000000"/>
          <w:szCs w:val="22"/>
          <w:u w:val="single"/>
        </w:rPr>
      </w:pPr>
      <w:r w:rsidRPr="00335834">
        <w:rPr>
          <w:rFonts w:ascii="Calibri" w:hAnsi="Calibri" w:cs="Arial"/>
          <w:color w:val="000000"/>
          <w:szCs w:val="22"/>
          <w:u w:val="single"/>
        </w:rPr>
        <w:t>Mechanistic</w:t>
      </w:r>
      <w:r w:rsidRPr="00335834">
        <w:rPr>
          <w:rFonts w:ascii="Calibri" w:hAnsi="Calibri" w:cs="Arial"/>
          <w:color w:val="000000"/>
          <w:szCs w:val="22"/>
        </w:rPr>
        <w:t xml:space="preserve"> - - - - - - - - - - - - - - - - - - - - - - - - - - - - - - - - - -</w:t>
      </w:r>
      <w:r w:rsidRPr="00335834">
        <w:rPr>
          <w:rFonts w:ascii="Calibri" w:hAnsi="Calibri" w:cs="Arial"/>
          <w:color w:val="000000"/>
          <w:szCs w:val="22"/>
          <w:u w:val="single"/>
        </w:rPr>
        <w:t>Organistic</w:t>
      </w:r>
    </w:p>
    <w:p w14:paraId="09F9D486" w14:textId="77777777" w:rsidR="00E30FCD" w:rsidRPr="00335834" w:rsidRDefault="00E30FCD" w:rsidP="00E30FCD">
      <w:pPr>
        <w:spacing w:line="360" w:lineRule="auto"/>
        <w:rPr>
          <w:rFonts w:ascii="Calibri" w:hAnsi="Calibri" w:cs="Arial"/>
          <w:color w:val="000000"/>
          <w:szCs w:val="22"/>
        </w:rPr>
      </w:pPr>
      <w:r w:rsidRPr="00335834">
        <w:rPr>
          <w:rFonts w:ascii="Calibri" w:hAnsi="Calibri" w:cs="Arial"/>
          <w:color w:val="000000"/>
          <w:szCs w:val="22"/>
        </w:rPr>
        <w:t>Stable environment</w:t>
      </w:r>
      <w:r w:rsidRPr="00335834">
        <w:rPr>
          <w:rFonts w:ascii="Calibri" w:hAnsi="Calibri" w:cs="Arial"/>
          <w:color w:val="000000"/>
          <w:szCs w:val="22"/>
        </w:rPr>
        <w:tab/>
      </w:r>
      <w:r w:rsidRPr="00335834">
        <w:rPr>
          <w:rFonts w:ascii="Calibri" w:hAnsi="Calibri" w:cs="Arial"/>
          <w:color w:val="000000"/>
          <w:szCs w:val="22"/>
        </w:rPr>
        <w:tab/>
      </w:r>
      <w:r w:rsidRPr="00335834">
        <w:rPr>
          <w:rFonts w:ascii="Calibri" w:hAnsi="Calibri" w:cs="Arial"/>
          <w:color w:val="000000"/>
          <w:szCs w:val="22"/>
        </w:rPr>
        <w:tab/>
      </w:r>
      <w:r w:rsidRPr="00335834">
        <w:rPr>
          <w:rFonts w:ascii="Calibri" w:hAnsi="Calibri" w:cs="Arial"/>
          <w:color w:val="000000"/>
          <w:szCs w:val="22"/>
        </w:rPr>
        <w:tab/>
      </w:r>
      <w:r w:rsidRPr="00335834">
        <w:rPr>
          <w:rFonts w:ascii="Calibri" w:hAnsi="Calibri" w:cs="Arial"/>
          <w:color w:val="000000"/>
          <w:szCs w:val="22"/>
        </w:rPr>
        <w:tab/>
      </w:r>
      <w:r w:rsidRPr="00335834">
        <w:rPr>
          <w:rFonts w:ascii="Calibri" w:hAnsi="Calibri" w:cs="Arial"/>
          <w:color w:val="000000"/>
          <w:szCs w:val="22"/>
        </w:rPr>
        <w:tab/>
        <w:t>Turbulent environment</w:t>
      </w:r>
    </w:p>
    <w:p w14:paraId="505ABF6B" w14:textId="77777777" w:rsidR="00E30FCD" w:rsidRPr="00335834" w:rsidRDefault="00E30FCD" w:rsidP="00E30FCD">
      <w:pPr>
        <w:spacing w:line="360" w:lineRule="auto"/>
        <w:rPr>
          <w:rFonts w:ascii="Calibri" w:hAnsi="Calibri" w:cs="Arial"/>
          <w:color w:val="000000"/>
          <w:szCs w:val="22"/>
        </w:rPr>
      </w:pPr>
      <w:r w:rsidRPr="00335834">
        <w:rPr>
          <w:rFonts w:ascii="Calibri" w:hAnsi="Calibri" w:cs="Arial"/>
          <w:color w:val="000000"/>
          <w:szCs w:val="22"/>
        </w:rPr>
        <w:t>Clear goals; short time horizons</w:t>
      </w:r>
      <w:r w:rsidRPr="00335834">
        <w:rPr>
          <w:rFonts w:ascii="Calibri" w:hAnsi="Calibri" w:cs="Arial"/>
          <w:color w:val="000000"/>
          <w:szCs w:val="22"/>
        </w:rPr>
        <w:tab/>
      </w:r>
      <w:r w:rsidRPr="00335834">
        <w:rPr>
          <w:rFonts w:ascii="Calibri" w:hAnsi="Calibri" w:cs="Arial"/>
          <w:color w:val="000000"/>
          <w:szCs w:val="22"/>
        </w:rPr>
        <w:tab/>
      </w:r>
      <w:r w:rsidRPr="00335834">
        <w:rPr>
          <w:rFonts w:ascii="Calibri" w:hAnsi="Calibri" w:cs="Arial"/>
          <w:color w:val="000000"/>
          <w:szCs w:val="22"/>
        </w:rPr>
        <w:tab/>
      </w:r>
      <w:r w:rsidRPr="00335834">
        <w:rPr>
          <w:rFonts w:ascii="Calibri" w:hAnsi="Calibri" w:cs="Arial"/>
          <w:color w:val="000000"/>
          <w:szCs w:val="22"/>
        </w:rPr>
        <w:tab/>
        <w:t xml:space="preserve">Ambiguous goals; long time horizon </w:t>
      </w:r>
    </w:p>
    <w:p w14:paraId="446E4230" w14:textId="77777777" w:rsidR="00E30FCD" w:rsidRPr="00335834" w:rsidRDefault="00E30FCD" w:rsidP="00E30FCD">
      <w:pPr>
        <w:spacing w:line="360" w:lineRule="auto"/>
        <w:rPr>
          <w:rFonts w:ascii="Calibri" w:hAnsi="Calibri" w:cs="Arial"/>
          <w:color w:val="000000"/>
          <w:szCs w:val="22"/>
        </w:rPr>
      </w:pPr>
      <w:r w:rsidRPr="00335834">
        <w:rPr>
          <w:rFonts w:ascii="Calibri" w:hAnsi="Calibri" w:cs="Arial"/>
          <w:color w:val="000000"/>
          <w:szCs w:val="22"/>
        </w:rPr>
        <w:t>Bureaucratic interaction</w:t>
      </w:r>
      <w:r w:rsidRPr="00335834">
        <w:rPr>
          <w:rFonts w:ascii="Calibri" w:hAnsi="Calibri" w:cs="Arial"/>
          <w:color w:val="000000"/>
          <w:szCs w:val="22"/>
        </w:rPr>
        <w:tab/>
      </w:r>
      <w:r w:rsidRPr="00335834">
        <w:rPr>
          <w:rFonts w:ascii="Calibri" w:hAnsi="Calibri" w:cs="Arial"/>
          <w:color w:val="000000"/>
          <w:szCs w:val="22"/>
        </w:rPr>
        <w:tab/>
      </w:r>
      <w:r w:rsidRPr="00335834">
        <w:rPr>
          <w:rFonts w:ascii="Calibri" w:hAnsi="Calibri" w:cs="Arial"/>
          <w:color w:val="000000"/>
          <w:szCs w:val="22"/>
        </w:rPr>
        <w:tab/>
      </w:r>
      <w:r w:rsidRPr="00335834">
        <w:rPr>
          <w:rFonts w:ascii="Calibri" w:hAnsi="Calibri" w:cs="Arial"/>
          <w:color w:val="000000"/>
          <w:szCs w:val="22"/>
        </w:rPr>
        <w:tab/>
      </w:r>
      <w:r w:rsidRPr="00335834">
        <w:rPr>
          <w:rFonts w:ascii="Calibri" w:hAnsi="Calibri" w:cs="Arial"/>
          <w:color w:val="000000"/>
          <w:szCs w:val="22"/>
        </w:rPr>
        <w:tab/>
        <w:t>Informal interaction</w:t>
      </w:r>
    </w:p>
    <w:p w14:paraId="54EE0EDE" w14:textId="77777777" w:rsidR="00E30FCD" w:rsidRPr="00335834" w:rsidRDefault="00E30FCD" w:rsidP="00E30FCD">
      <w:pPr>
        <w:spacing w:line="360" w:lineRule="auto"/>
        <w:rPr>
          <w:rFonts w:ascii="Calibri" w:hAnsi="Calibri" w:cs="Arial"/>
          <w:color w:val="000000"/>
          <w:szCs w:val="22"/>
        </w:rPr>
      </w:pPr>
      <w:r w:rsidRPr="00335834">
        <w:rPr>
          <w:rFonts w:ascii="Calibri" w:hAnsi="Calibri" w:cs="Arial"/>
          <w:color w:val="000000"/>
          <w:szCs w:val="22"/>
        </w:rPr>
        <w:t>Bureaucratic integration- hierarchy &amp; rules</w:t>
      </w:r>
      <w:r w:rsidRPr="00335834">
        <w:rPr>
          <w:rFonts w:ascii="Calibri" w:hAnsi="Calibri" w:cs="Arial"/>
          <w:color w:val="000000"/>
          <w:szCs w:val="22"/>
        </w:rPr>
        <w:tab/>
      </w:r>
      <w:r w:rsidRPr="00335834">
        <w:rPr>
          <w:rFonts w:ascii="Calibri" w:hAnsi="Calibri" w:cs="Arial"/>
          <w:color w:val="000000"/>
          <w:szCs w:val="22"/>
        </w:rPr>
        <w:tab/>
      </w:r>
      <w:r w:rsidRPr="00335834">
        <w:rPr>
          <w:rFonts w:ascii="Calibri" w:hAnsi="Calibri" w:cs="Arial"/>
          <w:color w:val="000000"/>
          <w:szCs w:val="22"/>
        </w:rPr>
        <w:tab/>
        <w:t>Multidisciplinary project teams</w:t>
      </w:r>
    </w:p>
    <w:p w14:paraId="4BBD35E9" w14:textId="77777777" w:rsidR="00E30FCD" w:rsidRPr="00335834" w:rsidRDefault="00E30FCD" w:rsidP="00E30FCD">
      <w:pPr>
        <w:spacing w:line="360" w:lineRule="auto"/>
        <w:jc w:val="right"/>
        <w:rPr>
          <w:rFonts w:ascii="Calibri" w:hAnsi="Calibri" w:cs="Arial"/>
          <w:color w:val="000000"/>
          <w:szCs w:val="22"/>
        </w:rPr>
      </w:pPr>
      <w:r w:rsidRPr="00335834">
        <w:rPr>
          <w:rFonts w:ascii="Calibri" w:hAnsi="Calibri" w:cs="Arial"/>
          <w:color w:val="000000"/>
          <w:szCs w:val="22"/>
        </w:rPr>
        <w:t>*Need a more flexible organization</w:t>
      </w:r>
    </w:p>
    <w:p w14:paraId="525BBE05" w14:textId="77777777" w:rsidR="00E30FCD" w:rsidRPr="00964F45" w:rsidRDefault="00E30FCD" w:rsidP="00E30FCD">
      <w:pPr>
        <w:spacing w:after="60"/>
        <w:rPr>
          <w:rFonts w:ascii="Calibri" w:hAnsi="Calibri"/>
        </w:rPr>
      </w:pPr>
    </w:p>
    <w:p w14:paraId="6EC7AE26" w14:textId="77777777" w:rsidR="00E30FCD" w:rsidRDefault="00E30FCD" w:rsidP="00E30FCD">
      <w:pPr>
        <w:spacing w:after="80"/>
        <w:rPr>
          <w:rFonts w:ascii="Calibri" w:hAnsi="Calibri"/>
        </w:rPr>
      </w:pPr>
    </w:p>
    <w:p w14:paraId="260D45DB" w14:textId="77777777" w:rsidR="00E30FCD" w:rsidRDefault="00E30FCD"/>
    <w:sectPr w:rsidR="00E30FCD" w:rsidSect="00D8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B4465"/>
    <w:multiLevelType w:val="hybridMultilevel"/>
    <w:tmpl w:val="5922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24"/>
    <w:rsid w:val="006923A1"/>
    <w:rsid w:val="006D6724"/>
    <w:rsid w:val="008D628B"/>
    <w:rsid w:val="00924B67"/>
    <w:rsid w:val="00CB40D3"/>
    <w:rsid w:val="00D85DA7"/>
    <w:rsid w:val="00E3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F850D"/>
  <w15:chartTrackingRefBased/>
  <w15:docId w15:val="{8D8454BF-34C1-364A-A61B-CA43E71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Mangin</dc:creator>
  <cp:keywords/>
  <dc:description/>
  <cp:lastModifiedBy>Melinda Mangin</cp:lastModifiedBy>
  <cp:revision>2</cp:revision>
  <dcterms:created xsi:type="dcterms:W3CDTF">2020-06-23T21:25:00Z</dcterms:created>
  <dcterms:modified xsi:type="dcterms:W3CDTF">2020-06-24T15:27:00Z</dcterms:modified>
</cp:coreProperties>
</file>