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2B2C" w14:textId="5EEF9EEC" w:rsidR="00C16C94" w:rsidRPr="001D6905" w:rsidRDefault="001D6905">
      <w:pPr>
        <w:rPr>
          <w:rFonts w:ascii="Calibri" w:hAnsi="Calibri"/>
          <w:bCs/>
        </w:rPr>
      </w:pPr>
      <w:r w:rsidRPr="001D6905">
        <w:rPr>
          <w:rFonts w:ascii="Calibri" w:hAnsi="Calibri"/>
          <w:b/>
          <w:bCs/>
        </w:rPr>
        <w:t>Synchronous Small Group Discussion</w:t>
      </w:r>
      <w:r>
        <w:rPr>
          <w:rFonts w:ascii="Calibri" w:hAnsi="Calibri"/>
          <w:b/>
          <w:bCs/>
        </w:rPr>
        <w:t>:</w:t>
      </w:r>
      <w:r w:rsidRPr="001D6905">
        <w:rPr>
          <w:rFonts w:ascii="Calibri" w:hAnsi="Calibri"/>
          <w:b/>
        </w:rPr>
        <w:t xml:space="preserve"> </w:t>
      </w:r>
      <w:r w:rsidR="005A1774" w:rsidRPr="001D6905">
        <w:rPr>
          <w:rFonts w:ascii="Calibri" w:hAnsi="Calibri"/>
          <w:bCs/>
        </w:rPr>
        <w:t xml:space="preserve">Session </w:t>
      </w:r>
      <w:r w:rsidR="005E0AFA">
        <w:rPr>
          <w:rFonts w:ascii="Calibri" w:hAnsi="Calibri"/>
          <w:bCs/>
        </w:rPr>
        <w:t>8</w:t>
      </w:r>
    </w:p>
    <w:p w14:paraId="683C88A7" w14:textId="77777777" w:rsidR="001D6905" w:rsidRPr="001D6905" w:rsidRDefault="001D6905">
      <w:pPr>
        <w:rPr>
          <w:rFonts w:ascii="Calibri" w:hAnsi="Calibri"/>
          <w:bCs/>
        </w:rPr>
      </w:pPr>
    </w:p>
    <w:p w14:paraId="5A2F37EF" w14:textId="139E2784" w:rsidR="005A1774" w:rsidRPr="001D6905" w:rsidRDefault="001D6905">
      <w:pPr>
        <w:rPr>
          <w:rFonts w:ascii="Calibri" w:hAnsi="Calibri"/>
          <w:bCs/>
        </w:rPr>
      </w:pPr>
      <w:r w:rsidRPr="00206E1B">
        <w:rPr>
          <w:rFonts w:ascii="Calibri" w:hAnsi="Calibri"/>
          <w:b/>
        </w:rPr>
        <w:t>Topic</w:t>
      </w:r>
      <w:r w:rsidRPr="001D6905">
        <w:rPr>
          <w:rFonts w:ascii="Calibri" w:hAnsi="Calibri"/>
          <w:bCs/>
        </w:rPr>
        <w:t xml:space="preserve">: </w:t>
      </w:r>
      <w:r w:rsidR="005E0AFA">
        <w:rPr>
          <w:rFonts w:ascii="Calibri" w:hAnsi="Calibri"/>
          <w:bCs/>
        </w:rPr>
        <w:t>Student Cheating in Higher Education</w:t>
      </w:r>
    </w:p>
    <w:p w14:paraId="6081BCE4" w14:textId="77777777" w:rsidR="005A1774" w:rsidRPr="001D6905" w:rsidRDefault="005A1774">
      <w:pPr>
        <w:rPr>
          <w:rFonts w:ascii="Calibri" w:hAnsi="Calibri"/>
          <w:bCs/>
        </w:rPr>
      </w:pPr>
    </w:p>
    <w:p w14:paraId="5AFF4F7F" w14:textId="355EB0B2" w:rsidR="00A56255" w:rsidRPr="005E0AFA" w:rsidRDefault="001D6905" w:rsidP="005E0AFA">
      <w:pPr>
        <w:ind w:left="1584" w:hanging="1584"/>
        <w:rPr>
          <w:rFonts w:ascii="Calibri" w:hAnsi="Calibri" w:cs="Arial"/>
          <w:b/>
          <w:color w:val="000000"/>
          <w:szCs w:val="22"/>
        </w:rPr>
      </w:pPr>
      <w:r w:rsidRPr="005E0AFA">
        <w:rPr>
          <w:rFonts w:ascii="Calibri" w:hAnsi="Calibri" w:cs="Arial"/>
          <w:b/>
          <w:color w:val="000000"/>
          <w:szCs w:val="22"/>
        </w:rPr>
        <w:t xml:space="preserve">Reading: </w:t>
      </w:r>
      <w:r w:rsidR="00A56255" w:rsidRPr="00A56255">
        <w:rPr>
          <w:rFonts w:ascii="Calibri" w:hAnsi="Calibri" w:cs="Arial"/>
          <w:bCs/>
          <w:color w:val="000000"/>
          <w:szCs w:val="22"/>
        </w:rPr>
        <w:t xml:space="preserve">Gallant, T. B., &amp; Drinan, P. (2006). Organizational theory and student cheating: Explanation, responses, and strategies. </w:t>
      </w:r>
      <w:r w:rsidR="00A56255" w:rsidRPr="00A56255">
        <w:rPr>
          <w:rFonts w:ascii="Calibri" w:hAnsi="Calibri" w:cs="Arial"/>
          <w:bCs/>
          <w:i/>
          <w:color w:val="000000"/>
          <w:szCs w:val="22"/>
        </w:rPr>
        <w:t>The Journal of Higher Education</w:t>
      </w:r>
      <w:r w:rsidR="00A56255" w:rsidRPr="00A56255">
        <w:rPr>
          <w:rFonts w:ascii="Calibri" w:hAnsi="Calibri" w:cs="Arial"/>
          <w:bCs/>
          <w:color w:val="000000"/>
          <w:szCs w:val="22"/>
        </w:rPr>
        <w:t>, 77(5), 839-860</w:t>
      </w:r>
      <w:r w:rsidR="00A56255">
        <w:rPr>
          <w:rFonts w:ascii="Calibri" w:hAnsi="Calibri" w:cs="Arial"/>
          <w:bCs/>
          <w:color w:val="000000"/>
          <w:szCs w:val="22"/>
        </w:rPr>
        <w:t>.</w:t>
      </w:r>
    </w:p>
    <w:p w14:paraId="48085B75" w14:textId="34B7DEB8" w:rsidR="005A1774" w:rsidRDefault="005A1774">
      <w:pPr>
        <w:rPr>
          <w:rFonts w:ascii="Calibri" w:hAnsi="Calibri" w:cs="Arial"/>
          <w:bCs/>
          <w:color w:val="000000"/>
          <w:szCs w:val="22"/>
        </w:rPr>
      </w:pPr>
    </w:p>
    <w:p w14:paraId="21DCE349" w14:textId="77777777" w:rsidR="001D6905" w:rsidRPr="001D6905" w:rsidRDefault="001D6905" w:rsidP="001D6905">
      <w:pPr>
        <w:rPr>
          <w:rFonts w:ascii="Calibri" w:hAnsi="Calibri" w:cs="Arial"/>
          <w:b/>
          <w:bCs/>
          <w:color w:val="000000"/>
          <w:szCs w:val="22"/>
        </w:rPr>
      </w:pPr>
      <w:r w:rsidRPr="001D6905">
        <w:rPr>
          <w:rFonts w:ascii="Calibri" w:hAnsi="Calibri" w:cs="Arial"/>
          <w:b/>
          <w:bCs/>
          <w:color w:val="000000"/>
          <w:szCs w:val="22"/>
        </w:rPr>
        <w:t xml:space="preserve">Instructions </w:t>
      </w:r>
    </w:p>
    <w:p w14:paraId="3DAAF6E3" w14:textId="13B57EF9" w:rsidR="001D6905" w:rsidRPr="001D6905" w:rsidRDefault="001D6905" w:rsidP="001D6905">
      <w:pPr>
        <w:rPr>
          <w:rFonts w:ascii="Calibri" w:hAnsi="Calibri" w:cs="Arial"/>
          <w:bCs/>
          <w:color w:val="000000"/>
          <w:szCs w:val="22"/>
        </w:rPr>
      </w:pPr>
      <w:r w:rsidRPr="001D6905">
        <w:rPr>
          <w:rFonts w:ascii="Calibri" w:hAnsi="Calibri" w:cs="Arial"/>
          <w:bCs/>
          <w:color w:val="000000"/>
          <w:szCs w:val="22"/>
        </w:rPr>
        <w:t xml:space="preserve">Introduce yourselves. Then, select a note-taker who will record the key components of your discussion. Select a </w:t>
      </w:r>
      <w:proofErr w:type="gramStart"/>
      <w:r w:rsidRPr="001D6905">
        <w:rPr>
          <w:rFonts w:ascii="Calibri" w:hAnsi="Calibri" w:cs="Arial"/>
          <w:bCs/>
          <w:color w:val="000000"/>
          <w:szCs w:val="22"/>
        </w:rPr>
        <w:t>time-keeper</w:t>
      </w:r>
      <w:proofErr w:type="gramEnd"/>
      <w:r w:rsidRPr="001D6905">
        <w:rPr>
          <w:rFonts w:ascii="Calibri" w:hAnsi="Calibri" w:cs="Arial"/>
          <w:bCs/>
          <w:color w:val="000000"/>
          <w:szCs w:val="22"/>
        </w:rPr>
        <w:t xml:space="preserve"> who will keep the conversation on track. As you work, keep track of questions that emerge. Everyone should be ready to share ideas with the larger group.</w:t>
      </w:r>
      <w:r w:rsidR="005E0AFA">
        <w:rPr>
          <w:rFonts w:ascii="Calibri" w:hAnsi="Calibri" w:cs="Arial"/>
          <w:bCs/>
          <w:color w:val="000000"/>
          <w:szCs w:val="22"/>
        </w:rPr>
        <w:t xml:space="preserve"> </w:t>
      </w:r>
      <w:r w:rsidRPr="001D6905">
        <w:rPr>
          <w:rFonts w:ascii="Calibri" w:hAnsi="Calibri" w:cs="Arial"/>
          <w:bCs/>
          <w:color w:val="000000"/>
          <w:szCs w:val="22"/>
        </w:rPr>
        <w:t>Remember, the purpose is to have a robust discussion, not to methodically</w:t>
      </w:r>
      <w:r>
        <w:rPr>
          <w:rFonts w:ascii="Calibri" w:hAnsi="Calibri" w:cs="Arial"/>
          <w:bCs/>
          <w:color w:val="000000"/>
          <w:szCs w:val="22"/>
        </w:rPr>
        <w:t xml:space="preserve"> </w:t>
      </w:r>
      <w:r w:rsidRPr="001D6905">
        <w:rPr>
          <w:rFonts w:ascii="Calibri" w:hAnsi="Calibri" w:cs="Arial"/>
          <w:bCs/>
          <w:color w:val="000000"/>
          <w:szCs w:val="22"/>
        </w:rPr>
        <w:t>answer the questions. Your notes are for your eyes only.</w:t>
      </w:r>
    </w:p>
    <w:p w14:paraId="729C89F6" w14:textId="77777777" w:rsidR="00BB4602" w:rsidRPr="00BB4602" w:rsidRDefault="00BB4602" w:rsidP="00BB4602">
      <w:pPr>
        <w:rPr>
          <w:rFonts w:ascii="Calibri" w:hAnsi="Calibri" w:cs="Arial"/>
          <w:b/>
          <w:color w:val="000000"/>
          <w:szCs w:val="22"/>
        </w:rPr>
      </w:pPr>
    </w:p>
    <w:p w14:paraId="7A65A411" w14:textId="776684C9" w:rsidR="00BB4602" w:rsidRPr="00BB4602" w:rsidRDefault="00BB4602" w:rsidP="00BB4602">
      <w:pPr>
        <w:rPr>
          <w:rFonts w:ascii="Calibri" w:hAnsi="Calibri" w:cs="Arial"/>
          <w:b/>
          <w:color w:val="000000"/>
          <w:szCs w:val="22"/>
        </w:rPr>
      </w:pPr>
      <w:r w:rsidRPr="00BB4602">
        <w:rPr>
          <w:rFonts w:ascii="Calibri" w:hAnsi="Calibri" w:cs="Arial"/>
          <w:b/>
          <w:color w:val="000000"/>
          <w:szCs w:val="22"/>
        </w:rPr>
        <w:t xml:space="preserve">I. </w:t>
      </w:r>
      <w:r w:rsidR="005E0AFA">
        <w:rPr>
          <w:rFonts w:ascii="Calibri" w:hAnsi="Calibri" w:cs="Arial"/>
          <w:b/>
          <w:color w:val="000000"/>
          <w:szCs w:val="22"/>
        </w:rPr>
        <w:t xml:space="preserve">Article Structure </w:t>
      </w:r>
    </w:p>
    <w:p w14:paraId="7438927A" w14:textId="77777777" w:rsidR="00AA6182" w:rsidRPr="00372097" w:rsidRDefault="00AA6182">
      <w:pPr>
        <w:rPr>
          <w:rFonts w:ascii="Calibri" w:hAnsi="Calibri" w:cs="Arial"/>
          <w:b/>
          <w:color w:val="000000"/>
          <w:szCs w:val="22"/>
        </w:rPr>
      </w:pPr>
    </w:p>
    <w:p w14:paraId="274D303F" w14:textId="5F456D04" w:rsidR="005E0AFA" w:rsidRDefault="005A1774">
      <w:pPr>
        <w:rPr>
          <w:rFonts w:ascii="Calibri" w:hAnsi="Calibri" w:cs="Arial"/>
          <w:color w:val="000000"/>
          <w:szCs w:val="22"/>
        </w:rPr>
      </w:pPr>
      <w:r w:rsidRPr="00372097">
        <w:rPr>
          <w:rFonts w:ascii="Calibri" w:hAnsi="Calibri" w:cs="Arial"/>
          <w:color w:val="000000"/>
          <w:szCs w:val="22"/>
        </w:rPr>
        <w:t xml:space="preserve">1. </w:t>
      </w:r>
      <w:r w:rsidR="005E0AFA">
        <w:rPr>
          <w:rFonts w:ascii="Calibri" w:hAnsi="Calibri" w:cs="Arial"/>
          <w:color w:val="000000"/>
          <w:szCs w:val="22"/>
        </w:rPr>
        <w:t xml:space="preserve">This is a conceptual article. How does its structure differ from an empirical article? How is the structure similar? </w:t>
      </w:r>
    </w:p>
    <w:p w14:paraId="6479FA97" w14:textId="380A1A73" w:rsidR="005E0AFA" w:rsidRDefault="005E0AFA" w:rsidP="00206E1B">
      <w:pPr>
        <w:spacing w:line="360" w:lineRule="auto"/>
        <w:rPr>
          <w:rFonts w:ascii="Calibri" w:hAnsi="Calibri" w:cs="Arial"/>
          <w:color w:val="000000"/>
          <w:szCs w:val="22"/>
        </w:rPr>
      </w:pPr>
    </w:p>
    <w:p w14:paraId="46DD8F3E" w14:textId="77777777" w:rsidR="005E0AFA" w:rsidRDefault="005E0AFA" w:rsidP="005E0AFA">
      <w:pPr>
        <w:rPr>
          <w:rFonts w:ascii="Calibri" w:hAnsi="Calibri" w:cs="Arial"/>
          <w:bCs/>
          <w:color w:val="000000"/>
          <w:szCs w:val="22"/>
        </w:rPr>
      </w:pPr>
      <w:r w:rsidRPr="00372097">
        <w:rPr>
          <w:rFonts w:ascii="Calibri" w:hAnsi="Calibri"/>
        </w:rPr>
        <w:t xml:space="preserve">2. </w:t>
      </w:r>
      <w:r>
        <w:rPr>
          <w:rFonts w:ascii="Calibri" w:hAnsi="Calibri" w:cs="Arial"/>
          <w:bCs/>
          <w:color w:val="000000"/>
          <w:szCs w:val="22"/>
        </w:rPr>
        <w:t xml:space="preserve">How do the authors use past research to build an argument? [Paying attention to the mechanics involved in argumentation is important for developing your own ability to argue for a particular line of research or study design. You will need these skills for writing a dissertation proposal.] </w:t>
      </w:r>
    </w:p>
    <w:p w14:paraId="76A5849E" w14:textId="77777777" w:rsidR="005E0AFA" w:rsidRDefault="005E0AFA" w:rsidP="00206E1B">
      <w:pPr>
        <w:spacing w:line="360" w:lineRule="auto"/>
        <w:rPr>
          <w:rFonts w:ascii="Calibri" w:hAnsi="Calibri" w:cs="Arial"/>
          <w:color w:val="000000"/>
          <w:szCs w:val="22"/>
        </w:rPr>
      </w:pPr>
    </w:p>
    <w:p w14:paraId="3FD6BBEE" w14:textId="77777777" w:rsidR="005E0AFA" w:rsidRPr="005E0AFA" w:rsidRDefault="005E0AFA">
      <w:pPr>
        <w:rPr>
          <w:rFonts w:ascii="Calibri" w:hAnsi="Calibri" w:cs="Arial"/>
          <w:b/>
          <w:bCs/>
          <w:color w:val="000000"/>
          <w:szCs w:val="22"/>
        </w:rPr>
      </w:pPr>
      <w:r w:rsidRPr="005E0AFA">
        <w:rPr>
          <w:rFonts w:ascii="Calibri" w:hAnsi="Calibri" w:cs="Arial"/>
          <w:b/>
          <w:bCs/>
          <w:color w:val="000000"/>
          <w:szCs w:val="22"/>
        </w:rPr>
        <w:t xml:space="preserve">II. Article Content </w:t>
      </w:r>
    </w:p>
    <w:p w14:paraId="48B29A46" w14:textId="057413B7" w:rsidR="005A1774" w:rsidRDefault="005E0AFA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 xml:space="preserve">3. </w:t>
      </w:r>
      <w:r w:rsidR="005A1774" w:rsidRPr="00372097">
        <w:rPr>
          <w:rFonts w:ascii="Calibri" w:hAnsi="Calibri" w:cs="Arial"/>
          <w:color w:val="000000"/>
          <w:szCs w:val="22"/>
        </w:rPr>
        <w:t>What</w:t>
      </w:r>
      <w:r w:rsidR="00A56255">
        <w:rPr>
          <w:rFonts w:ascii="Calibri" w:hAnsi="Calibri" w:cs="Arial"/>
          <w:color w:val="000000"/>
          <w:szCs w:val="22"/>
        </w:rPr>
        <w:t xml:space="preserve"> do the authors mean when the</w:t>
      </w:r>
      <w:r>
        <w:rPr>
          <w:rFonts w:ascii="Calibri" w:hAnsi="Calibri" w:cs="Arial"/>
          <w:color w:val="000000"/>
          <w:szCs w:val="22"/>
        </w:rPr>
        <w:t>y</w:t>
      </w:r>
      <w:r w:rsidR="00A56255">
        <w:rPr>
          <w:rFonts w:ascii="Calibri" w:hAnsi="Calibri" w:cs="Arial"/>
          <w:color w:val="000000"/>
          <w:szCs w:val="22"/>
        </w:rPr>
        <w:t xml:space="preserve"> refer to the “unit of analysis” on page 841? How do different units of analysis shift researchers’ focus and problem definition? </w:t>
      </w:r>
    </w:p>
    <w:p w14:paraId="56D55919" w14:textId="51C7EC59" w:rsidR="00437638" w:rsidRDefault="00437638" w:rsidP="00206E1B">
      <w:pPr>
        <w:spacing w:line="360" w:lineRule="auto"/>
        <w:rPr>
          <w:rFonts w:ascii="Calibri" w:hAnsi="Calibri" w:cs="Arial"/>
          <w:color w:val="000000"/>
          <w:szCs w:val="22"/>
        </w:rPr>
      </w:pPr>
    </w:p>
    <w:p w14:paraId="7DC2EB1E" w14:textId="46D29A04" w:rsidR="00437638" w:rsidRPr="00372097" w:rsidRDefault="00600C17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4</w:t>
      </w:r>
      <w:r w:rsidR="00437638">
        <w:rPr>
          <w:rFonts w:ascii="Calibri" w:hAnsi="Calibri" w:cs="Arial"/>
          <w:color w:val="000000"/>
          <w:szCs w:val="22"/>
        </w:rPr>
        <w:t xml:space="preserve">. The authors </w:t>
      </w:r>
      <w:r w:rsidR="005E0AFA">
        <w:rPr>
          <w:rFonts w:ascii="Calibri" w:hAnsi="Calibri" w:cs="Arial"/>
          <w:color w:val="000000"/>
          <w:szCs w:val="22"/>
        </w:rPr>
        <w:t>critique</w:t>
      </w:r>
      <w:r w:rsidR="00437638">
        <w:rPr>
          <w:rFonts w:ascii="Calibri" w:hAnsi="Calibri" w:cs="Arial"/>
          <w:color w:val="000000"/>
          <w:szCs w:val="22"/>
        </w:rPr>
        <w:t xml:space="preserve"> past </w:t>
      </w:r>
      <w:r w:rsidR="005E0AFA">
        <w:rPr>
          <w:rFonts w:ascii="Calibri" w:hAnsi="Calibri" w:cs="Arial"/>
          <w:color w:val="000000"/>
          <w:szCs w:val="22"/>
        </w:rPr>
        <w:t xml:space="preserve">perspectives on student cheating (see: student view, p. 843; organizational </w:t>
      </w:r>
      <w:proofErr w:type="spellStart"/>
      <w:r w:rsidR="005E0AFA">
        <w:rPr>
          <w:rFonts w:ascii="Calibri" w:hAnsi="Calibri" w:cs="Arial"/>
          <w:color w:val="000000"/>
          <w:szCs w:val="22"/>
        </w:rPr>
        <w:t>culture</w:t>
      </w:r>
      <w:proofErr w:type="spellEnd"/>
      <w:r w:rsidR="005E0AFA">
        <w:rPr>
          <w:rFonts w:ascii="Calibri" w:hAnsi="Calibri" w:cs="Arial"/>
          <w:color w:val="000000"/>
          <w:szCs w:val="22"/>
        </w:rPr>
        <w:t xml:space="preserve"> view, p. 844; and the American society view, p. 847). </w:t>
      </w:r>
      <w:r>
        <w:rPr>
          <w:rFonts w:ascii="Calibri" w:hAnsi="Calibri" w:cs="Arial"/>
          <w:color w:val="000000"/>
          <w:szCs w:val="22"/>
        </w:rPr>
        <w:t xml:space="preserve">Based on their argument, how can systematic application of organizational theories create a strategic and generative response to the problem of student cheating? </w:t>
      </w:r>
      <w:r w:rsidR="00206E1B">
        <w:rPr>
          <w:rFonts w:ascii="Calibri" w:hAnsi="Calibri" w:cs="Arial"/>
          <w:color w:val="000000"/>
          <w:szCs w:val="22"/>
        </w:rPr>
        <w:t>How could it institutionalize academic integrity?</w:t>
      </w:r>
      <w:r>
        <w:rPr>
          <w:rFonts w:ascii="Calibri" w:hAnsi="Calibri" w:cs="Arial"/>
          <w:color w:val="000000"/>
          <w:szCs w:val="22"/>
        </w:rPr>
        <w:t xml:space="preserve"> </w:t>
      </w:r>
    </w:p>
    <w:p w14:paraId="7B30F358" w14:textId="58621E00" w:rsidR="005A1774" w:rsidRDefault="005A1774" w:rsidP="00206E1B">
      <w:pPr>
        <w:spacing w:line="360" w:lineRule="auto"/>
        <w:rPr>
          <w:rFonts w:ascii="Calibri" w:hAnsi="Calibri"/>
        </w:rPr>
      </w:pPr>
    </w:p>
    <w:p w14:paraId="6008ACDB" w14:textId="163349C3" w:rsidR="006D4629" w:rsidRDefault="00206E1B" w:rsidP="00206E1B">
      <w:pPr>
        <w:rPr>
          <w:rFonts w:ascii="Calibri" w:hAnsi="Calibri"/>
        </w:rPr>
      </w:pPr>
      <w:r>
        <w:rPr>
          <w:rFonts w:ascii="Calibri" w:hAnsi="Calibri"/>
        </w:rPr>
        <w:t>5. In what ways do you see the Natural-Social theory of organizations reflected in this article?</w:t>
      </w:r>
    </w:p>
    <w:p w14:paraId="1A94D60B" w14:textId="5AE4228F" w:rsidR="00BB4602" w:rsidRDefault="00BB4602" w:rsidP="00206E1B">
      <w:pPr>
        <w:spacing w:line="360" w:lineRule="auto"/>
        <w:rPr>
          <w:rFonts w:ascii="Calibri" w:hAnsi="Calibri"/>
        </w:rPr>
      </w:pPr>
    </w:p>
    <w:p w14:paraId="279EA515" w14:textId="59966205" w:rsidR="00206E1B" w:rsidRPr="00206E1B" w:rsidRDefault="00206E1B" w:rsidP="00206E1B">
      <w:pPr>
        <w:rPr>
          <w:rFonts w:ascii="Calibri" w:hAnsi="Calibri"/>
        </w:rPr>
      </w:pPr>
      <w:r w:rsidRPr="00206E1B">
        <w:rPr>
          <w:rFonts w:ascii="Calibri" w:hAnsi="Calibri"/>
          <w:b/>
          <w:bCs/>
        </w:rPr>
        <w:t xml:space="preserve">III. Claims </w:t>
      </w:r>
      <w:r w:rsidRPr="00206E1B">
        <w:rPr>
          <w:rFonts w:ascii="Calibri" w:hAnsi="Calibri"/>
        </w:rPr>
        <w:t xml:space="preserve">Write 2 claims that accurately represent </w:t>
      </w:r>
      <w:r>
        <w:rPr>
          <w:rFonts w:ascii="Calibri" w:hAnsi="Calibri"/>
        </w:rPr>
        <w:t xml:space="preserve">the authors’ argument. </w:t>
      </w:r>
    </w:p>
    <w:p w14:paraId="0C2FE635" w14:textId="77777777" w:rsidR="00206E1B" w:rsidRPr="00206E1B" w:rsidRDefault="00206E1B" w:rsidP="00206E1B">
      <w:pPr>
        <w:spacing w:line="360" w:lineRule="auto"/>
        <w:rPr>
          <w:rFonts w:ascii="Calibri" w:hAnsi="Calibri"/>
        </w:rPr>
      </w:pPr>
      <w:r w:rsidRPr="00206E1B">
        <w:rPr>
          <w:rFonts w:ascii="Calibri" w:hAnsi="Calibri"/>
        </w:rPr>
        <w:t xml:space="preserve">1.   </w:t>
      </w:r>
    </w:p>
    <w:p w14:paraId="39535E7D" w14:textId="0ABA6270" w:rsidR="00206E1B" w:rsidRPr="00372097" w:rsidRDefault="00206E1B" w:rsidP="00206E1B">
      <w:pPr>
        <w:spacing w:line="360" w:lineRule="auto"/>
        <w:rPr>
          <w:rFonts w:ascii="Calibri" w:hAnsi="Calibri"/>
        </w:rPr>
      </w:pPr>
      <w:r w:rsidRPr="00206E1B">
        <w:rPr>
          <w:rFonts w:ascii="Calibri" w:hAnsi="Calibri"/>
        </w:rPr>
        <w:t>2.</w:t>
      </w:r>
      <w:bookmarkStart w:id="0" w:name="_GoBack"/>
      <w:bookmarkEnd w:id="0"/>
    </w:p>
    <w:sectPr w:rsidR="00206E1B" w:rsidRPr="00372097" w:rsidSect="00CB0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A59FB"/>
    <w:multiLevelType w:val="hybridMultilevel"/>
    <w:tmpl w:val="744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74"/>
    <w:rsid w:val="00106094"/>
    <w:rsid w:val="00150D5A"/>
    <w:rsid w:val="001D6905"/>
    <w:rsid w:val="00206E1B"/>
    <w:rsid w:val="00224913"/>
    <w:rsid w:val="00284A30"/>
    <w:rsid w:val="002D796E"/>
    <w:rsid w:val="003226BE"/>
    <w:rsid w:val="00372097"/>
    <w:rsid w:val="00437638"/>
    <w:rsid w:val="00473A8E"/>
    <w:rsid w:val="005A1774"/>
    <w:rsid w:val="005E0AFA"/>
    <w:rsid w:val="00600C17"/>
    <w:rsid w:val="006D4629"/>
    <w:rsid w:val="00804C52"/>
    <w:rsid w:val="008131C4"/>
    <w:rsid w:val="00A56255"/>
    <w:rsid w:val="00AA6182"/>
    <w:rsid w:val="00BB4602"/>
    <w:rsid w:val="00C16C94"/>
    <w:rsid w:val="00CB0BAE"/>
    <w:rsid w:val="00E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FB2A4"/>
  <w14:defaultImageDpi w14:val="300"/>
  <w15:docId w15:val="{A7A67C63-CB2D-244C-BE9F-64AFF3C9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Education Rutgers University</dc:creator>
  <cp:keywords/>
  <dc:description/>
  <cp:lastModifiedBy>Melinda Mangin</cp:lastModifiedBy>
  <cp:revision>3</cp:revision>
  <cp:lastPrinted>2019-06-04T19:57:00Z</cp:lastPrinted>
  <dcterms:created xsi:type="dcterms:W3CDTF">2020-06-18T15:23:00Z</dcterms:created>
  <dcterms:modified xsi:type="dcterms:W3CDTF">2020-06-18T17:00:00Z</dcterms:modified>
</cp:coreProperties>
</file>